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876D" w14:textId="77777777" w:rsidR="00604BFE" w:rsidRDefault="00604BFE" w:rsidP="00604BFE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b/>
          <w:bCs/>
          <w:color w:val="000000"/>
        </w:rPr>
        <w:t>Quadro I - Barema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1"/>
        <w:gridCol w:w="2388"/>
        <w:gridCol w:w="1309"/>
      </w:tblGrid>
      <w:tr w:rsidR="00604BFE" w14:paraId="3441BA16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BD45556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Critérios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BDA9E14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Critérios de Pontuação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CEF5D4C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Pontuação</w:t>
            </w:r>
          </w:p>
          <w:p w14:paraId="35DB2C5D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obtida</w:t>
            </w:r>
          </w:p>
        </w:tc>
      </w:tr>
      <w:tr w:rsidR="00604BFE" w14:paraId="709D2A89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88CB0B6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1. Tempo de exercício como docente efetivo no IFMG.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8642457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840" w:right="120" w:hanging="360"/>
              <w:jc w:val="both"/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</w:rPr>
              <w:t xml:space="preserve">3,0 pontos por semestre no </w:t>
            </w:r>
            <w:r>
              <w:rPr>
                <w:i/>
                <w:iCs/>
                <w:color w:val="000000"/>
                <w:sz w:val="22"/>
                <w:szCs w:val="22"/>
              </w:rPr>
              <w:t>Campus</w:t>
            </w:r>
            <w:r>
              <w:rPr>
                <w:color w:val="000000"/>
                <w:sz w:val="22"/>
                <w:szCs w:val="22"/>
              </w:rPr>
              <w:t xml:space="preserve"> Bambuí, sem limite de pontuação;</w:t>
            </w:r>
          </w:p>
          <w:p w14:paraId="24D2D880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840" w:right="120" w:hanging="360"/>
              <w:jc w:val="both"/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</w:rPr>
              <w:t xml:space="preserve">1,0 ponto por semestre em quaisquer outros </w:t>
            </w:r>
            <w:r>
              <w:rPr>
                <w:i/>
                <w:iCs/>
                <w:color w:val="000000"/>
                <w:sz w:val="22"/>
                <w:szCs w:val="22"/>
              </w:rPr>
              <w:t>campis</w:t>
            </w:r>
            <w:r>
              <w:rPr>
                <w:color w:val="000000"/>
                <w:sz w:val="22"/>
                <w:szCs w:val="22"/>
              </w:rPr>
              <w:t xml:space="preserve"> do IFMG, sem limite de pontuação.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7C8777F" w14:textId="77777777" w:rsidR="00604BFE" w:rsidRDefault="00604BFE" w:rsidP="003A0302"/>
        </w:tc>
      </w:tr>
      <w:tr w:rsidR="00604BFE" w14:paraId="71803C7A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875BD15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2. Regime de trabalho em dedicação exclusiva.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7E3BD73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5,0 pontos.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6E7B10E" w14:textId="77777777" w:rsidR="00604BFE" w:rsidRDefault="00604BFE" w:rsidP="003A0302"/>
        </w:tc>
      </w:tr>
      <w:tr w:rsidR="00604BFE" w14:paraId="5EFA2736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F9CFEB8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3. Tempo de matrícula no curso de pós-graduação.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4E4AFFD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1,0 ponto por mês completado (30 dias) desde a data de matrícula.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44039E6" w14:textId="77777777" w:rsidR="00604BFE" w:rsidRDefault="00604BFE" w:rsidP="003A0302"/>
        </w:tc>
      </w:tr>
      <w:tr w:rsidR="00604BFE" w14:paraId="03832A06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DBF29CB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 xml:space="preserve">4. Pontuação do programa de pós-graduação de acordo com a avaliação da Coordenação de Aperfeiçoamento de Pessoal de Nível Superior (CAPES)*. </w:t>
            </w:r>
          </w:p>
          <w:p w14:paraId="69B32F27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*Comprovação deve ser feita com documento emitido pela instituição de ensino mantenedora do programa de pós-graduação pleiteado pelo candidato ou página oficial da CAPES (</w:t>
            </w:r>
            <w:hyperlink r:id="rId4" w:tgtFrame="_blank" w:history="1">
              <w:r>
                <w:rPr>
                  <w:rStyle w:val="Hyperlink"/>
                  <w:sz w:val="22"/>
                  <w:szCs w:val="22"/>
                </w:rPr>
                <w:t>https://sucupira.capes.gov.br/sucupira/</w:t>
              </w:r>
            </w:hyperlink>
            <w:r>
              <w:rPr>
                <w:color w:val="000000"/>
                <w:sz w:val="22"/>
                <w:szCs w:val="22"/>
              </w:rPr>
              <w:t xml:space="preserve">) que ateste a nota </w:t>
            </w:r>
            <w:r>
              <w:rPr>
                <w:rStyle w:val="Forte"/>
                <w:color w:val="000000"/>
                <w:sz w:val="22"/>
                <w:szCs w:val="22"/>
              </w:rPr>
              <w:t>mais atualizada (situação atual)</w:t>
            </w:r>
            <w:r>
              <w:rPr>
                <w:color w:val="000000"/>
                <w:sz w:val="22"/>
                <w:szCs w:val="22"/>
              </w:rPr>
              <w:t>. Não serão aceitas fotos de telas dos </w:t>
            </w:r>
            <w:r>
              <w:rPr>
                <w:rStyle w:val="nfase"/>
                <w:color w:val="000000"/>
                <w:sz w:val="22"/>
                <w:szCs w:val="22"/>
              </w:rPr>
              <w:t>websites</w:t>
            </w:r>
            <w:r>
              <w:rPr>
                <w:color w:val="000000"/>
                <w:sz w:val="22"/>
                <w:szCs w:val="22"/>
              </w:rPr>
              <w:t xml:space="preserve"> dos programas de pós-graduação.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A24E647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840" w:right="120" w:hanging="360"/>
              <w:jc w:val="both"/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</w:rPr>
              <w:t>Nota 3: 3,0 pontos;</w:t>
            </w:r>
          </w:p>
          <w:p w14:paraId="14A2F5FB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840" w:right="120" w:hanging="360"/>
              <w:jc w:val="both"/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</w:rPr>
              <w:t>Nota 4: 4,0 pontos;</w:t>
            </w:r>
          </w:p>
          <w:p w14:paraId="4AC35CE6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840" w:right="120" w:hanging="360"/>
              <w:jc w:val="both"/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</w:rPr>
              <w:t>Nota 5: 5,0 pontos;</w:t>
            </w:r>
          </w:p>
          <w:p w14:paraId="43CFBEAB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840" w:right="120" w:hanging="360"/>
              <w:jc w:val="both"/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</w:rPr>
              <w:t>Nota 6: 6,0 pontos;</w:t>
            </w:r>
          </w:p>
          <w:p w14:paraId="13D27B2B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840" w:right="120" w:hanging="360"/>
              <w:jc w:val="both"/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</w:rPr>
              <w:t>Nota 7: 7,0 pontos.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CCBDA52" w14:textId="77777777" w:rsidR="00604BFE" w:rsidRDefault="00604BFE" w:rsidP="003A0302"/>
        </w:tc>
      </w:tr>
      <w:tr w:rsidR="00604BFE" w14:paraId="30B15B13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9EFDE6D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5. Titulação pretendida.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234E8EB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840" w:right="120" w:hanging="360"/>
              <w:jc w:val="both"/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</w:rPr>
              <w:t>Mestrado: 10,0 pontos;</w:t>
            </w:r>
          </w:p>
          <w:p w14:paraId="22D859BD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840" w:right="120" w:hanging="360"/>
              <w:jc w:val="both"/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</w:rPr>
              <w:t>Doutorado: 5,0 pontos;</w:t>
            </w:r>
          </w:p>
          <w:p w14:paraId="60F75D62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840" w:right="120" w:hanging="360"/>
              <w:jc w:val="both"/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</w:rPr>
              <w:t>Estágio Pós-Doutoral: 2,5 pontos.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CC65B83" w14:textId="77777777" w:rsidR="00604BFE" w:rsidRDefault="00604BFE" w:rsidP="003A0302"/>
        </w:tc>
      </w:tr>
      <w:tr w:rsidR="00604BFE" w14:paraId="47A4E34C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EFFC15E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6. Coordenação de projeto de ensino.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4AA0857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1,0 ponto por projeto (limite de 5,0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A0EDF9A" w14:textId="77777777" w:rsidR="00604BFE" w:rsidRDefault="00604BFE" w:rsidP="003A0302"/>
        </w:tc>
      </w:tr>
      <w:tr w:rsidR="00604BFE" w14:paraId="27665361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BB0B7F9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lastRenderedPageBreak/>
              <w:t>7. Orientação de bolsistas e/ou voluntários em projetos de ensino nos últimos 3 anos.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58E8B5E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0,25 pontos por aluno (limite de 5,0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8859308" w14:textId="77777777" w:rsidR="00604BFE" w:rsidRDefault="00604BFE" w:rsidP="003A0302"/>
        </w:tc>
      </w:tr>
      <w:tr w:rsidR="00604BFE" w14:paraId="137F373A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B996FEE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8. Coordenação de grupo de estudo.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867C012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0,25 pontos por grupo (limite de 2,5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F405EBC" w14:textId="77777777" w:rsidR="00604BFE" w:rsidRDefault="00604BFE" w:rsidP="003A0302"/>
        </w:tc>
      </w:tr>
      <w:tr w:rsidR="00604BFE" w14:paraId="6C123F15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2767953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9. Orientação de trabalho de conclusão de curso de graduação ou especialização concluído.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619230B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0,5 pontos por trabalho (limite de 5,0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D62382E" w14:textId="77777777" w:rsidR="00604BFE" w:rsidRDefault="00604BFE" w:rsidP="003A0302"/>
        </w:tc>
      </w:tr>
      <w:tr w:rsidR="00604BFE" w14:paraId="6278FF54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30B0AEF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10. Orientação de trabalho de conclusão de curso de mestrado ou doutorado concluído.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9AF2182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1,0 ponto por trabalho (limite de 5,0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EA531EC" w14:textId="77777777" w:rsidR="00604BFE" w:rsidRDefault="00604BFE" w:rsidP="003A0302"/>
        </w:tc>
      </w:tr>
      <w:tr w:rsidR="00604BFE" w14:paraId="09B4D9A6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6E81620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11. Participação como membro de banca de trabalho de conclusão de curso nos últimos 2 anos.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0A5B6F3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840" w:right="120" w:hanging="360"/>
              <w:jc w:val="both"/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</w:rPr>
              <w:t>0,1 pontos por banca de graduação ou especialização;</w:t>
            </w:r>
          </w:p>
          <w:p w14:paraId="10683C48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840" w:right="120" w:hanging="360"/>
              <w:jc w:val="both"/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</w:rPr>
              <w:t>0,3 pontos por banca de mestrado ou doutorado.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9DD4BE2" w14:textId="77777777" w:rsidR="00604BFE" w:rsidRDefault="00604BFE" w:rsidP="003A0302"/>
        </w:tc>
      </w:tr>
      <w:tr w:rsidR="00604BFE" w14:paraId="2B69AEEB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A0E5FC9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12. Coordenação de projeto ou grupo de pesquisa.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47DA1DA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1,0 ponto por projeto ou grupo (limite de 5,0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2B6D72D" w14:textId="77777777" w:rsidR="00604BFE" w:rsidRDefault="00604BFE" w:rsidP="003A0302"/>
        </w:tc>
      </w:tr>
      <w:tr w:rsidR="00604BFE" w14:paraId="1CE7F4DB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068317C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13. Orientação de bolsistas e/ou voluntários em projetos de pesquisa nos últimos 3 anos.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83F19CC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0,25 pontos por aluno (limite de 5,0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7CD5FFA" w14:textId="77777777" w:rsidR="00604BFE" w:rsidRDefault="00604BFE" w:rsidP="003A0302"/>
        </w:tc>
      </w:tr>
      <w:tr w:rsidR="00604BFE" w14:paraId="030F6EAB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9A932EE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 xml:space="preserve">14. Artigo científico publicado em periódicos listados na classificação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Qualis da </w:t>
            </w:r>
            <w:r>
              <w:rPr>
                <w:color w:val="000000"/>
                <w:sz w:val="22"/>
                <w:szCs w:val="22"/>
              </w:rPr>
              <w:t>CAPES*.</w:t>
            </w:r>
          </w:p>
          <w:p w14:paraId="3B137EDF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*Comprovação deve ser feita incluindo a indicação da classificação do periódico no portal Qualis da CAPES (</w:t>
            </w:r>
            <w:hyperlink r:id="rId5" w:tgtFrame="_blank" w:history="1">
              <w:r>
                <w:rPr>
                  <w:rStyle w:val="Hyperlink"/>
                  <w:sz w:val="22"/>
                  <w:szCs w:val="22"/>
                </w:rPr>
                <w:t>https://sucupira.capes.gov.br/sucupira/</w:t>
              </w:r>
            </w:hyperlink>
            <w:r>
              <w:rPr>
                <w:color w:val="000000"/>
                <w:sz w:val="22"/>
                <w:szCs w:val="22"/>
              </w:rPr>
              <w:t xml:space="preserve">). Deve-se considerar a maior classificação entre as áreas constantes (quadriênio 2017-2020) juntamente com </w:t>
            </w:r>
            <w:r>
              <w:rPr>
                <w:b/>
                <w:bCs/>
                <w:color w:val="000000"/>
                <w:sz w:val="22"/>
                <w:szCs w:val="22"/>
              </w:rPr>
              <w:t>primeira página</w:t>
            </w:r>
            <w:r>
              <w:rPr>
                <w:color w:val="000000"/>
                <w:sz w:val="22"/>
                <w:szCs w:val="22"/>
              </w:rPr>
              <w:t xml:space="preserve"> do artigo.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5F70381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840" w:right="120" w:hanging="360"/>
              <w:jc w:val="both"/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</w:rPr>
              <w:t>1,0 ponto por artigo com classificação A1 ou A2;</w:t>
            </w:r>
          </w:p>
          <w:p w14:paraId="204E6B8B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840" w:right="120" w:hanging="360"/>
              <w:jc w:val="both"/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</w:rPr>
              <w:t>0,75 pontos por artigo com classificação B1 a B5;</w:t>
            </w:r>
          </w:p>
          <w:p w14:paraId="7B807AC0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840" w:right="120" w:hanging="360"/>
              <w:jc w:val="both"/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 xml:space="preserve">· </w:t>
            </w:r>
            <w:r>
              <w:rPr>
                <w:color w:val="000000"/>
                <w:sz w:val="22"/>
                <w:szCs w:val="22"/>
              </w:rPr>
              <w:t>0,5 pontos por artigo com classificação 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AF20DFE" w14:textId="77777777" w:rsidR="00604BFE" w:rsidRDefault="00604BFE" w:rsidP="003A0302"/>
        </w:tc>
      </w:tr>
      <w:tr w:rsidR="00604BFE" w14:paraId="787E8861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2153BBD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15. Publicação em anais de congressos, simpósios, seminários e eventos similares nos últimos 5 anos.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3A17C2F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0,25 pontos por publicação.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525DC3A" w14:textId="77777777" w:rsidR="00604BFE" w:rsidRDefault="00604BFE" w:rsidP="003A0302"/>
        </w:tc>
      </w:tr>
      <w:tr w:rsidR="00604BFE" w14:paraId="4B3BEC30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942E621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16. Livro publicado e registrado em editora.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6834141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1,0 ponto por livro (limite de 5,0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46B161A" w14:textId="77777777" w:rsidR="00604BFE" w:rsidRDefault="00604BFE" w:rsidP="003A0302"/>
        </w:tc>
      </w:tr>
      <w:tr w:rsidR="00604BFE" w14:paraId="737D2B7D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4E0DA4F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17. Capítulo em livro publicado e registrado em editora.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123DF9E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0,25 pontos por capítulo (limite de 5,0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8467ED9" w14:textId="77777777" w:rsidR="00604BFE" w:rsidRDefault="00604BFE" w:rsidP="003A0302"/>
        </w:tc>
      </w:tr>
      <w:tr w:rsidR="00604BFE" w14:paraId="18336B97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3FA4064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18. Patentes, registros de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software </w:t>
            </w:r>
            <w:r>
              <w:rPr>
                <w:color w:val="000000"/>
                <w:sz w:val="22"/>
                <w:szCs w:val="22"/>
              </w:rPr>
              <w:t>e outros processos de pedidos de depósito concluídos no Instituto Nacional de Propriedade Industrial (INPI).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284F80C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1,0 ponto por pedido de depósito concluído (limite de 5,0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22CB548" w14:textId="77777777" w:rsidR="00604BFE" w:rsidRDefault="00604BFE" w:rsidP="003A0302"/>
        </w:tc>
      </w:tr>
      <w:tr w:rsidR="00604BFE" w14:paraId="4A94B8D8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7B350EF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 xml:space="preserve">19. Revisor científico ou membro de corpo editorial em periódico listado na classificação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Qualis da </w:t>
            </w:r>
            <w:r>
              <w:rPr>
                <w:color w:val="000000"/>
                <w:sz w:val="22"/>
                <w:szCs w:val="22"/>
              </w:rPr>
              <w:t>CAPES*.</w:t>
            </w:r>
          </w:p>
          <w:p w14:paraId="05348279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*Comprovação deve ser feita incluindo a indicação da classificação do periódico no portal Qualis da CAPES (</w:t>
            </w:r>
            <w:hyperlink r:id="rId6" w:tgtFrame="_blank" w:history="1">
              <w:r>
                <w:rPr>
                  <w:rStyle w:val="Hyperlink"/>
                  <w:sz w:val="22"/>
                  <w:szCs w:val="22"/>
                </w:rPr>
                <w:t>https://sucupira.capes.gov.br/sucupira/</w:t>
              </w:r>
            </w:hyperlink>
            <w:r>
              <w:rPr>
                <w:color w:val="000000"/>
                <w:sz w:val="22"/>
                <w:szCs w:val="22"/>
              </w:rPr>
              <w:t>). Deve-se considerar a maior classificação entre as áreas constantes (quadriênio 2017-2020) juntamente com página que conste o nome do candidato entre os membros do corpo editorial ou documento que certifique a situação de revisor regular do periódico.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A7DFE6C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0,5 pontos por periódico (limite de 2,5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E96645A" w14:textId="77777777" w:rsidR="00604BFE" w:rsidRDefault="00604BFE" w:rsidP="003A0302"/>
        </w:tc>
      </w:tr>
      <w:tr w:rsidR="00604BFE" w14:paraId="33F15706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68422BD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 xml:space="preserve">20. Coordenação de projeto de extensão no IFMG -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Campus </w:t>
            </w:r>
            <w:r>
              <w:rPr>
                <w:color w:val="000000"/>
                <w:sz w:val="22"/>
                <w:szCs w:val="22"/>
              </w:rPr>
              <w:t>Bambuí.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635988E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1,0 ponto por projeto (limite de 5,0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12A6F01" w14:textId="77777777" w:rsidR="00604BFE" w:rsidRDefault="00604BFE" w:rsidP="003A0302"/>
        </w:tc>
      </w:tr>
      <w:tr w:rsidR="00604BFE" w14:paraId="535E0FF8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CA45CF7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 xml:space="preserve">21. Orientação de bolsista e/ou voluntários em projetos de extensão no IFMG -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Campus </w:t>
            </w:r>
            <w:r>
              <w:rPr>
                <w:color w:val="000000"/>
                <w:sz w:val="22"/>
                <w:szCs w:val="22"/>
              </w:rPr>
              <w:t>Bambuí nos últimos 3 anos.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88F5D20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0,25 pontos por aluno (limite de 5,0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EF475F6" w14:textId="77777777" w:rsidR="00604BFE" w:rsidRDefault="00604BFE" w:rsidP="003A0302"/>
        </w:tc>
      </w:tr>
      <w:tr w:rsidR="00604BFE" w14:paraId="4A99BFD1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A97805F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22. Ministração de palestras ou minicursos nos últimos 2 anos.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124B035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0,25 pontos por palestra ou minicurso.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7887FBF" w14:textId="77777777" w:rsidR="00604BFE" w:rsidRDefault="00604BFE" w:rsidP="003A0302"/>
        </w:tc>
      </w:tr>
      <w:tr w:rsidR="00604BFE" w14:paraId="32300B8D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7609CDB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 xml:space="preserve">23. Participação em comissões, colegiado de curso, Núcleo Docente Estruturante (NDE) e representação de núcleo no IFMG -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Campus </w:t>
            </w:r>
            <w:r>
              <w:rPr>
                <w:color w:val="000000"/>
                <w:sz w:val="22"/>
                <w:szCs w:val="22"/>
              </w:rPr>
              <w:t>Bambuí.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06E2E90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0,25 pontos por comissão, colegiado, NDE ou representação (limite de 2,5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DFD1C36" w14:textId="77777777" w:rsidR="00604BFE" w:rsidRDefault="00604BFE" w:rsidP="003A0302"/>
        </w:tc>
      </w:tr>
      <w:tr w:rsidR="00604BFE" w14:paraId="26731CC5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837E215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24. Ocupantes de cargos de direção.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2E932DF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1,5 pontos por ano (limite de 6,0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7515694" w14:textId="77777777" w:rsidR="00604BFE" w:rsidRDefault="00604BFE" w:rsidP="003A0302"/>
        </w:tc>
      </w:tr>
      <w:tr w:rsidR="00604BFE" w14:paraId="51E6FF23" w14:textId="77777777" w:rsidTr="003A030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9238377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25. Ocupantes de demais cargos de administração e/ou gestão acadêmica.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2773429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color w:val="000000"/>
                <w:sz w:val="22"/>
                <w:szCs w:val="22"/>
              </w:rPr>
              <w:t>1,0 ponto por ano (limite de 6,0 pontos).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218F11F" w14:textId="77777777" w:rsidR="00604BFE" w:rsidRDefault="00604BFE" w:rsidP="003A0302"/>
        </w:tc>
      </w:tr>
      <w:tr w:rsidR="00604BFE" w14:paraId="68009507" w14:textId="77777777" w:rsidTr="003A030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5D6C97E" w14:textId="77777777" w:rsidR="00604BFE" w:rsidRDefault="00604BFE" w:rsidP="003A0302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BFCB034" w14:textId="77777777" w:rsidR="00604BFE" w:rsidRDefault="00604BFE" w:rsidP="003A0302"/>
        </w:tc>
      </w:tr>
    </w:tbl>
    <w:p w14:paraId="4DB0BA3D" w14:textId="77777777" w:rsidR="008F5011" w:rsidRDefault="008F5011"/>
    <w:sectPr w:rsidR="008F5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27"/>
    <w:rsid w:val="00604BFE"/>
    <w:rsid w:val="008F5011"/>
    <w:rsid w:val="00990534"/>
    <w:rsid w:val="00E5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8894"/>
  <w15:chartTrackingRefBased/>
  <w15:docId w15:val="{287D4377-14DB-452C-9003-1A26D498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B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04BFE"/>
    <w:rPr>
      <w:i/>
      <w:iCs/>
    </w:rPr>
  </w:style>
  <w:style w:type="character" w:styleId="Forte">
    <w:name w:val="Strong"/>
    <w:basedOn w:val="Fontepargpadro"/>
    <w:uiPriority w:val="22"/>
    <w:qFormat/>
    <w:rsid w:val="00604BFE"/>
    <w:rPr>
      <w:b/>
      <w:bCs/>
    </w:rPr>
  </w:style>
  <w:style w:type="character" w:styleId="Hyperlink">
    <w:name w:val="Hyperlink"/>
    <w:basedOn w:val="Fontepargpadro"/>
    <w:uiPriority w:val="99"/>
    <w:unhideWhenUsed/>
    <w:rsid w:val="00604B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ucupira.capes.gov.br" TargetMode="External"/><Relationship Id="rId5" Type="http://schemas.openxmlformats.org/officeDocument/2006/relationships/hyperlink" Target="sucupira.capes.gov.br" TargetMode="External"/><Relationship Id="rId4" Type="http://schemas.openxmlformats.org/officeDocument/2006/relationships/hyperlink" Target="https://sucupira.capes.gov.br/sucupir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Ciniro Nametala</dc:creator>
  <cp:keywords/>
  <dc:description/>
  <cp:lastModifiedBy>Ciniro Nametala</cp:lastModifiedBy>
  <cp:revision>2</cp:revision>
  <dcterms:created xsi:type="dcterms:W3CDTF">2023-12-19T11:00:00Z</dcterms:created>
  <dcterms:modified xsi:type="dcterms:W3CDTF">2023-12-19T11:00:00Z</dcterms:modified>
</cp:coreProperties>
</file>