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10" w:rsidRDefault="00347310" w:rsidP="00347310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bookmarkStart w:id="0" w:name="_GoBack"/>
      <w:bookmarkEnd w:id="0"/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8" o:title=""/>
            <w10:wrap type="square"/>
          </v:shape>
          <o:OLEObject Type="Embed" ProgID="Figura" ShapeID="_x0000_s1026" DrawAspect="Content" ObjectID="_1716297312" r:id="rId9"/>
        </w:object>
      </w:r>
    </w:p>
    <w:p w:rsidR="00347310" w:rsidRDefault="00347310">
      <w:pPr>
        <w:spacing w:line="276" w:lineRule="auto"/>
        <w:jc w:val="both"/>
        <w:rPr>
          <w:b/>
        </w:rPr>
      </w:pPr>
    </w:p>
    <w:p w:rsidR="00347310" w:rsidRDefault="00347310">
      <w:pPr>
        <w:spacing w:line="276" w:lineRule="auto"/>
        <w:jc w:val="both"/>
        <w:rPr>
          <w:b/>
        </w:rPr>
      </w:pPr>
    </w:p>
    <w:p w:rsidR="00347310" w:rsidRDefault="00347310">
      <w:pPr>
        <w:spacing w:line="276" w:lineRule="auto"/>
        <w:jc w:val="both"/>
        <w:rPr>
          <w:b/>
        </w:rPr>
      </w:pPr>
    </w:p>
    <w:p w:rsidR="00347310" w:rsidRDefault="00347310">
      <w:pPr>
        <w:spacing w:line="276" w:lineRule="auto"/>
        <w:jc w:val="both"/>
        <w:rPr>
          <w:b/>
        </w:rPr>
      </w:pPr>
    </w:p>
    <w:p w:rsidR="00347310" w:rsidRDefault="00347310">
      <w:pPr>
        <w:spacing w:line="276" w:lineRule="auto"/>
        <w:jc w:val="both"/>
        <w:rPr>
          <w:b/>
        </w:rPr>
      </w:pPr>
    </w:p>
    <w:p w:rsidR="005038EA" w:rsidRDefault="00230A24">
      <w:pPr>
        <w:spacing w:line="276" w:lineRule="auto"/>
        <w:jc w:val="both"/>
        <w:rPr>
          <w:b/>
          <w:shd w:val="clear" w:color="auto" w:fill="D9D9D9"/>
        </w:rPr>
      </w:pPr>
      <w:r>
        <w:rPr>
          <w:b/>
        </w:rPr>
        <w:t>ANEXO VII– PASSO A PASSO PARA A GERAÇÃO DA GRU</w:t>
      </w:r>
    </w:p>
    <w:p w:rsidR="005038EA" w:rsidRDefault="00230A24">
      <w:pPr>
        <w:spacing w:before="200" w:after="200" w:line="276" w:lineRule="auto"/>
        <w:jc w:val="both"/>
        <w:rPr>
          <w:b/>
        </w:rPr>
      </w:pPr>
      <w:r>
        <w:rPr>
          <w:b/>
        </w:rPr>
        <w:t xml:space="preserve">1 - Acessar o sítio do Tesouro Nacional nos seguintes endereços: </w:t>
      </w:r>
      <w:hyperlink r:id="rId10">
        <w:r>
          <w:rPr>
            <w:b/>
          </w:rPr>
          <w:t>http://consulta.tesouro.fazenda.gov.br/gru_novosite/gru_simples.asp</w:t>
        </w:r>
      </w:hyperlink>
    </w:p>
    <w:p w:rsidR="005038EA" w:rsidRDefault="00230A24">
      <w:pPr>
        <w:spacing w:before="200" w:after="200" w:line="276" w:lineRule="auto"/>
        <w:jc w:val="both"/>
        <w:rPr>
          <w:b/>
        </w:rPr>
      </w:pPr>
      <w:r>
        <w:rPr>
          <w:b/>
        </w:rPr>
        <w:t>2 - Preenchimento dos campos:</w:t>
      </w:r>
    </w:p>
    <w:p w:rsidR="005038EA" w:rsidRDefault="00230A24">
      <w:pPr>
        <w:spacing w:before="200" w:after="200" w:line="276" w:lineRule="auto"/>
        <w:jc w:val="both"/>
      </w:pPr>
      <w:r>
        <w:t xml:space="preserve">2.1 - Unidade Gestora (UG): </w:t>
      </w:r>
      <w:r>
        <w:rPr>
          <w:b/>
        </w:rPr>
        <w:t>158275</w:t>
      </w:r>
      <w:r>
        <w:t xml:space="preserve"> (</w:t>
      </w:r>
      <w:r>
        <w:rPr>
          <w:i/>
        </w:rPr>
        <w:t>Campus</w:t>
      </w:r>
      <w:r>
        <w:t xml:space="preserve"> Bambuí)</w:t>
      </w:r>
    </w:p>
    <w:p w:rsidR="005038EA" w:rsidRDefault="00230A24">
      <w:pPr>
        <w:spacing w:before="200" w:after="200" w:line="276" w:lineRule="auto"/>
        <w:jc w:val="both"/>
      </w:pPr>
      <w:r>
        <w:t xml:space="preserve">2.2 - Gestão: Clicar no código </w:t>
      </w:r>
      <w:r>
        <w:rPr>
          <w:b/>
        </w:rPr>
        <w:t>26409</w:t>
      </w:r>
      <w:r>
        <w:t xml:space="preserve"> – Instituto Federal Educ. Ciência e Tecnologia de MG – </w:t>
      </w:r>
      <w:r>
        <w:rPr>
          <w:i/>
        </w:rPr>
        <w:t>Campus</w:t>
      </w:r>
      <w:r>
        <w:t xml:space="preserve"> Bambuí  </w:t>
      </w:r>
    </w:p>
    <w:p w:rsidR="005038EA" w:rsidRDefault="00230A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76" w:lineRule="auto"/>
        <w:jc w:val="both"/>
      </w:pPr>
      <w:r>
        <w:t xml:space="preserve">2.3 - Código de Recolhimento: Clicar no código </w:t>
      </w:r>
      <w:r>
        <w:rPr>
          <w:b/>
        </w:rPr>
        <w:t>28830-6</w:t>
      </w:r>
      <w:r>
        <w:t xml:space="preserve"> (Serviços Administrativos)</w:t>
      </w:r>
    </w:p>
    <w:p w:rsidR="005038EA" w:rsidRDefault="00230A24">
      <w:pPr>
        <w:spacing w:before="200" w:after="200" w:line="276" w:lineRule="auto"/>
        <w:jc w:val="both"/>
      </w:pPr>
      <w:r>
        <w:t>2.4 - Número de Referência: 01</w:t>
      </w:r>
    </w:p>
    <w:p w:rsidR="005038EA" w:rsidRDefault="00230A24">
      <w:pPr>
        <w:spacing w:before="200" w:after="200" w:line="276" w:lineRule="auto"/>
        <w:jc w:val="both"/>
      </w:pPr>
      <w:r>
        <w:t xml:space="preserve">2.5 - Competência: </w:t>
      </w:r>
      <w:r>
        <w:rPr>
          <w:b/>
        </w:rPr>
        <w:t>06 ou 07/2022</w:t>
      </w:r>
      <w:r>
        <w:t xml:space="preserve"> (mês e ano do pagamento)</w:t>
      </w:r>
    </w:p>
    <w:p w:rsidR="005038EA" w:rsidRDefault="00230A24">
      <w:pPr>
        <w:spacing w:before="200" w:after="200" w:line="276" w:lineRule="auto"/>
        <w:jc w:val="both"/>
      </w:pPr>
      <w:r>
        <w:t>2.6 - Vencimento: “Preencher com a Data do Pagamento”</w:t>
      </w:r>
    </w:p>
    <w:p w:rsidR="005038EA" w:rsidRDefault="00230A24">
      <w:pPr>
        <w:spacing w:before="200" w:after="200" w:line="276" w:lineRule="auto"/>
        <w:jc w:val="both"/>
      </w:pPr>
      <w:r>
        <w:t>2.7 - CPF do Contribuinte: “Preencher com o CPF do Requerente”</w:t>
      </w:r>
    </w:p>
    <w:p w:rsidR="005038EA" w:rsidRDefault="00230A24">
      <w:pPr>
        <w:spacing w:before="200" w:after="200" w:line="276" w:lineRule="auto"/>
        <w:jc w:val="both"/>
      </w:pPr>
      <w:r>
        <w:t>2.8 - Nome do Contribuinte: “Preencher com o Nome do Requerente”</w:t>
      </w:r>
    </w:p>
    <w:p w:rsidR="005038EA" w:rsidRDefault="00230A24">
      <w:pPr>
        <w:spacing w:before="200" w:after="200" w:line="276" w:lineRule="auto"/>
        <w:jc w:val="both"/>
      </w:pPr>
      <w:r>
        <w:t xml:space="preserve">2.9 - Valor Principal: </w:t>
      </w:r>
      <w:r>
        <w:rPr>
          <w:b/>
        </w:rPr>
        <w:t xml:space="preserve">R$ 150,00 </w:t>
      </w:r>
      <w:r>
        <w:t>(Cento e cinquenta reais).</w:t>
      </w:r>
    </w:p>
    <w:p w:rsidR="005038EA" w:rsidRDefault="00230A24">
      <w:pPr>
        <w:spacing w:before="200" w:after="200" w:line="276" w:lineRule="auto"/>
        <w:jc w:val="both"/>
      </w:pPr>
      <w:r>
        <w:t>2.10 - Valor Total</w:t>
      </w:r>
      <w:r>
        <w:rPr>
          <w:b/>
        </w:rPr>
        <w:t>: R$ 150,00</w:t>
      </w:r>
      <w:r>
        <w:t xml:space="preserve"> (Cento e cinquenta reais).</w:t>
      </w:r>
    </w:p>
    <w:p w:rsidR="005038EA" w:rsidRDefault="00230A24">
      <w:pPr>
        <w:spacing w:before="200" w:after="200" w:line="276" w:lineRule="auto"/>
        <w:jc w:val="both"/>
        <w:rPr>
          <w:b/>
        </w:rPr>
      </w:pPr>
      <w:r>
        <w:rPr>
          <w:b/>
        </w:rPr>
        <w:t>3 - Opção de Geração: Geração em PDF</w:t>
      </w:r>
    </w:p>
    <w:p w:rsidR="005038EA" w:rsidRDefault="00230A24">
      <w:pPr>
        <w:spacing w:before="200" w:after="200" w:line="276" w:lineRule="auto"/>
        <w:jc w:val="both"/>
        <w:rPr>
          <w:b/>
        </w:rPr>
      </w:pPr>
      <w:r>
        <w:rPr>
          <w:b/>
        </w:rPr>
        <w:t>4. Para finalizar clicar em: Emitir GRU</w:t>
      </w:r>
    </w:p>
    <w:p w:rsidR="005038EA" w:rsidRDefault="00230A24">
      <w:pPr>
        <w:spacing w:before="200" w:after="200" w:line="276" w:lineRule="auto"/>
        <w:jc w:val="both"/>
        <w:rPr>
          <w:b/>
        </w:rPr>
      </w:pPr>
      <w:r>
        <w:rPr>
          <w:b/>
        </w:rPr>
        <w:t>5. O pagamento da GRU deverá ser feito somente nas agências do Banco do Brasil.</w:t>
      </w:r>
    </w:p>
    <w:p w:rsidR="005038EA" w:rsidRDefault="005038EA">
      <w:pPr>
        <w:spacing w:before="200" w:after="200" w:line="276" w:lineRule="auto"/>
        <w:jc w:val="both"/>
        <w:rPr>
          <w:u w:val="single"/>
        </w:rPr>
      </w:pPr>
    </w:p>
    <w:sectPr w:rsidR="005038EA">
      <w:headerReference w:type="default" r:id="rId11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347310"/>
    <w:rsid w:val="004759A6"/>
    <w:rsid w:val="005038EA"/>
    <w:rsid w:val="005972EB"/>
    <w:rsid w:val="00A055EC"/>
    <w:rsid w:val="00B53370"/>
    <w:rsid w:val="00B55BB6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onsulta.tesouro.fazenda.gov.br/gru_novosite/gru_simples.as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7323-1E66-47D5-BFC0-524868CB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11</cp:revision>
  <dcterms:created xsi:type="dcterms:W3CDTF">2022-06-03T14:27:00Z</dcterms:created>
  <dcterms:modified xsi:type="dcterms:W3CDTF">2022-06-09T19:29:00Z</dcterms:modified>
</cp:coreProperties>
</file>